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1345" w14:textId="3DD8A4FD" w:rsidR="00DD466D" w:rsidRPr="00DD466D" w:rsidRDefault="00DD466D" w:rsidP="00DD466D">
      <w:pPr>
        <w:jc w:val="center"/>
        <w:rPr>
          <w:rFonts w:ascii="Calibri" w:hAnsi="Calibri"/>
          <w:b/>
        </w:rPr>
      </w:pPr>
      <w:r w:rsidRPr="00DD466D">
        <w:rPr>
          <w:rFonts w:ascii="Calibri" w:hAnsi="Calibri"/>
          <w:b/>
        </w:rPr>
        <w:t>Overview of Academic Outreach</w:t>
      </w:r>
    </w:p>
    <w:p w14:paraId="7A42070B" w14:textId="77777777" w:rsidR="00DD466D" w:rsidRPr="00DD466D" w:rsidRDefault="00DD466D" w:rsidP="00DD466D">
      <w:pPr>
        <w:rPr>
          <w:rFonts w:ascii="Calibri" w:hAnsi="Calibri"/>
        </w:rPr>
      </w:pPr>
    </w:p>
    <w:p w14:paraId="52152E0D" w14:textId="77777777" w:rsidR="00DD466D" w:rsidRDefault="00DD466D" w:rsidP="00DD466D">
      <w:pPr>
        <w:rPr>
          <w:rFonts w:ascii="Calibri" w:hAnsi="Calibri"/>
        </w:rPr>
      </w:pPr>
      <w:r w:rsidRPr="00DD466D">
        <w:rPr>
          <w:rFonts w:ascii="Calibri" w:hAnsi="Calibri"/>
          <w:u w:val="single"/>
        </w:rPr>
        <w:t>Academic outreach in the scholarship of teaching</w:t>
      </w:r>
      <w:r w:rsidRPr="00DD466D">
        <w:rPr>
          <w:rFonts w:ascii="Calibri" w:hAnsi="Calibri"/>
        </w:rPr>
        <w:t xml:space="preserve"> extends the university's instructional capacity to provide learning opportunities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to public audiences through workshops, public lectures, educational presentations, designing/developing educational exhibits or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web sites, and other educational activities. Faculty may also perform outreach teaching by extending their classroom beyond the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campus to engage their students in service learning. Through service learning, faculty design their course to enable their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students to relate the academic content of their coursework to the real world by providing a needed service to the community as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they apply and test their learning. Both service learning and student voluntary community service involve student engagement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with the community; however, service learning differs from community service in that service learning experiences occur in the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context of courses which are part of the approved curriculum and involve faculty and their students in a thoughtfully designed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learning experience with defined learning and experiential goals as part of the course requirements.</w:t>
      </w:r>
    </w:p>
    <w:p w14:paraId="119488B5" w14:textId="77777777" w:rsidR="00DD466D" w:rsidRPr="00DD466D" w:rsidRDefault="00DD466D" w:rsidP="00DD466D">
      <w:pPr>
        <w:rPr>
          <w:rFonts w:ascii="Calibri" w:hAnsi="Calibri"/>
        </w:rPr>
      </w:pPr>
    </w:p>
    <w:p w14:paraId="0A4D5562" w14:textId="77777777" w:rsidR="00DD466D" w:rsidRDefault="00DD466D" w:rsidP="00DD466D">
      <w:pPr>
        <w:rPr>
          <w:rFonts w:ascii="Calibri" w:hAnsi="Calibri"/>
        </w:rPr>
      </w:pPr>
      <w:r w:rsidRPr="00DD466D">
        <w:rPr>
          <w:rFonts w:ascii="Calibri" w:hAnsi="Calibri"/>
          <w:u w:val="single"/>
        </w:rPr>
        <w:t>Academic outreach in the scholarship of research or creative activity</w:t>
      </w:r>
      <w:r w:rsidRPr="00DD466D">
        <w:rPr>
          <w:rFonts w:ascii="Calibri" w:hAnsi="Calibri"/>
        </w:rPr>
        <w:t xml:space="preserve"> involves extending faculty research and creative endeavors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to serve the public at large. This goal may be accomplished through a variety of research activities: basic discovery research,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applied or action research, original performances, or creative applied policy or management. Outreach research is often seen as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an externally focused activity that brings together faculty and community collaborators to address real world problems and issues.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Indeed, the best examples of outreach research and creative activities are those that engage faculty in advancing knowledge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through the pursuit of their scholarly interests while simultaneously addressing problems and issues in the community, thereby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benefiting the scholar, the discipline, the university, and society.</w:t>
      </w:r>
    </w:p>
    <w:p w14:paraId="53D14AF8" w14:textId="77777777" w:rsidR="00DD466D" w:rsidRPr="00DD466D" w:rsidRDefault="00DD466D" w:rsidP="00DD466D">
      <w:pPr>
        <w:rPr>
          <w:rFonts w:ascii="Calibri" w:hAnsi="Calibri"/>
        </w:rPr>
      </w:pPr>
    </w:p>
    <w:p w14:paraId="1F35F90B" w14:textId="77777777" w:rsidR="00DD466D" w:rsidRPr="00DD466D" w:rsidRDefault="00DD466D" w:rsidP="00DD466D">
      <w:pPr>
        <w:rPr>
          <w:rFonts w:ascii="Calibri" w:hAnsi="Calibri"/>
        </w:rPr>
      </w:pPr>
      <w:r w:rsidRPr="00DD466D">
        <w:rPr>
          <w:rFonts w:ascii="Calibri" w:hAnsi="Calibri"/>
          <w:u w:val="single"/>
        </w:rPr>
        <w:t>Academic outreach in service or application</w:t>
      </w:r>
      <w:r w:rsidRPr="00DD466D">
        <w:rPr>
          <w:rFonts w:ascii="Calibri" w:hAnsi="Calibri"/>
        </w:rPr>
        <w:t xml:space="preserve"> entails employing faculty knowledge and professional expertise to serve society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through application of expertise in direct service, consultation with public, private and civic institutions of all kinds, and other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activities which apply faculty knowledge to the benefit of the community. Through outreach service, the intellectual resources of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the university’s faculty are applied to helping seek solutions to community problems and issues. As faculty knowledge provides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insights which inform citizens of choices, provide needed services, and inform public decisions, faculty enhance the quality of life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of the citizens in the communities served by the university. Outreach service does not include institutional service (e.g., service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on university committees), nor professional service (e.g., service to various professional and learned societies), nor community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service (e.g., charitable service outside the faculty member's academic expertise). Rather, outreach service is defined more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specifically as extending to the community faculty's disciplinary expertise acquired through research, scholarship, and creative</w:t>
      </w:r>
      <w:r>
        <w:rPr>
          <w:rFonts w:ascii="Calibri" w:hAnsi="Calibri"/>
        </w:rPr>
        <w:t xml:space="preserve"> </w:t>
      </w:r>
      <w:r w:rsidRPr="00DD466D">
        <w:rPr>
          <w:rFonts w:ascii="Calibri" w:hAnsi="Calibri"/>
        </w:rPr>
        <w:t>activity.</w:t>
      </w:r>
    </w:p>
    <w:p w14:paraId="6BD0C76E" w14:textId="6911584B" w:rsidR="00CB20EA" w:rsidRPr="00AD28BA" w:rsidRDefault="00CB20EA" w:rsidP="00DD466D">
      <w:pPr>
        <w:rPr>
          <w:rFonts w:ascii="Calibri" w:hAnsi="Calibri"/>
          <w:b/>
        </w:rPr>
      </w:pPr>
      <w:bookmarkStart w:id="0" w:name="_GoBack"/>
      <w:bookmarkEnd w:id="0"/>
    </w:p>
    <w:sectPr w:rsidR="00CB20EA" w:rsidRPr="00AD28BA" w:rsidSect="00DD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6D"/>
    <w:rsid w:val="000E57E7"/>
    <w:rsid w:val="00190AA3"/>
    <w:rsid w:val="003A4909"/>
    <w:rsid w:val="00AD28BA"/>
    <w:rsid w:val="00B05018"/>
    <w:rsid w:val="00B6159B"/>
    <w:rsid w:val="00C85646"/>
    <w:rsid w:val="00CB20EA"/>
    <w:rsid w:val="00DD466D"/>
    <w:rsid w:val="00E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2C960"/>
  <w14:defaultImageDpi w14:val="300"/>
  <w15:docId w15:val="{5B1D400F-5F3A-49B2-A035-6360898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rsid w:val="000E57E7"/>
    <w:pPr>
      <w:spacing w:before="120" w:after="120"/>
    </w:pPr>
    <w:rPr>
      <w:rFonts w:ascii="Times New Roman" w:eastAsia="Times New Roman" w:hAnsi="Times New Roman" w:cs="Times New Roman"/>
    </w:rPr>
  </w:style>
  <w:style w:type="paragraph" w:customStyle="1" w:styleId="ABKWH">
    <w:name w:val="ABKWH"/>
    <w:basedOn w:val="Normal"/>
    <w:rsid w:val="000E57E7"/>
    <w:pPr>
      <w:spacing w:before="120" w:after="120"/>
    </w:pPr>
    <w:rPr>
      <w:rFonts w:ascii="Times New Roman" w:eastAsia="Times New Roman" w:hAnsi="Times New Roman" w:cs="Times New Roman"/>
      <w:color w:val="9E3A3A"/>
      <w:sz w:val="32"/>
    </w:rPr>
  </w:style>
  <w:style w:type="character" w:styleId="Hyperlink">
    <w:name w:val="Hyperlink"/>
    <w:basedOn w:val="DefaultParagraphFont"/>
    <w:uiPriority w:val="99"/>
    <w:unhideWhenUsed/>
    <w:rsid w:val="00DD46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159B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Reyes Mason</dc:creator>
  <cp:keywords/>
  <dc:description/>
  <cp:lastModifiedBy>Glauser, Tyger</cp:lastModifiedBy>
  <cp:revision>2</cp:revision>
  <dcterms:created xsi:type="dcterms:W3CDTF">2019-10-16T17:27:00Z</dcterms:created>
  <dcterms:modified xsi:type="dcterms:W3CDTF">2019-10-16T17:27:00Z</dcterms:modified>
  <cp:category/>
</cp:coreProperties>
</file>